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val="en-US" w:eastAsia="zh-CN"/>
          <w14:textFill>
            <w14:solidFill>
              <w14:schemeClr w14:val="bg1"/>
            </w14:solidFill>
          </w14:textFill>
        </w:rPr>
        <w:t>临床医学概论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中南大学出版社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29D5CC5B">
      <w:pPr>
        <w:keepNext/>
        <w:keepLines/>
        <w:spacing w:before="260" w:after="260" w:line="416" w:lineRule="atLeast"/>
        <w:jc w:val="center"/>
        <w:outlineLvl w:val="1"/>
        <w:rPr>
          <w:rFonts w:hint="default" w:ascii="Times New Roman" w:hAnsi="Times New Roman" w:eastAsia="宋体"/>
          <w:b/>
          <w:bCs/>
          <w:color w:val="00B0F0"/>
          <w:sz w:val="28"/>
          <w:szCs w:val="28"/>
          <w:lang w:val="en-US" w:eastAsia="zh-CN"/>
        </w:rPr>
      </w:pP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>项目四  诊断方法与病历书写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3384969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47815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5FA90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szCs w:val="20"/>
              </w:rPr>
              <w:t>诊断方法与病历书写</w:t>
            </w:r>
          </w:p>
        </w:tc>
      </w:tr>
      <w:tr w14:paraId="3876352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4D3FE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0F28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061FC37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B3F2A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3E501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color w:val="00B0F0"/>
                <w:sz w:val="24"/>
                <w:szCs w:val="24"/>
              </w:rPr>
            </w:pP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知识目标：</w:t>
            </w:r>
          </w:p>
          <w:p w14:paraId="38477E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eastAsia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  <w:lang w:val="en-US" w:eastAsia="zh-CN"/>
              </w:rPr>
              <w:t xml:space="preserve">1. 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 xml:space="preserve">掌握病历书写的内容与格式。 </w:t>
            </w:r>
          </w:p>
          <w:p w14:paraId="287E9F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szCs w:val="20"/>
                <w:lang w:val="en-US" w:eastAsia="zh-CN"/>
              </w:rPr>
              <w:t>2. 熟悉临床诊断步骤与思维方法。</w:t>
            </w:r>
          </w:p>
          <w:p w14:paraId="3A450E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color w:val="00B0F0"/>
                <w:sz w:val="24"/>
                <w:szCs w:val="24"/>
              </w:rPr>
            </w:pPr>
            <w:r>
              <w:rPr>
                <w:rFonts w:hint="eastAsia" w:hAnsi="宋体"/>
                <w:b/>
                <w:color w:val="00B0F0"/>
                <w:sz w:val="24"/>
                <w:szCs w:val="24"/>
                <w:lang w:val="en-US" w:eastAsia="zh-CN"/>
              </w:rPr>
              <w:t>能力</w:t>
            </w: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目标：</w:t>
            </w:r>
          </w:p>
          <w:p w14:paraId="12882D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firstLine="210" w:firstLineChars="100"/>
              <w:textAlignment w:val="auto"/>
              <w:rPr>
                <w:rFonts w:hint="default" w:ascii="Times New Roman" w:hAnsi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szCs w:val="20"/>
                <w:lang w:val="en-US" w:eastAsia="zh-CN"/>
              </w:rPr>
              <w:t>学会病历书写</w:t>
            </w:r>
            <w:bookmarkStart w:id="0" w:name="_GoBack"/>
            <w:bookmarkEnd w:id="0"/>
            <w:r>
              <w:rPr>
                <w:rFonts w:hint="eastAsia" w:ascii="Times New Roman" w:hAnsi="宋体"/>
                <w:szCs w:val="20"/>
                <w:lang w:val="en-US" w:eastAsia="zh-CN"/>
              </w:rPr>
              <w:t>的内容与格式、临床诊断基本原则和方法。</w:t>
            </w:r>
          </w:p>
          <w:p w14:paraId="64F9F6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  <w:lang w:val="en-US" w:eastAsia="zh-CN"/>
              </w:rPr>
              <w:t>素质</w:t>
            </w:r>
            <w:r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  <w:t>目标</w:t>
            </w: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：</w:t>
            </w:r>
          </w:p>
          <w:p w14:paraId="30FEBB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塑造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“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严谨缜密、实事求是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”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的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职业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品格，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养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成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“一丝不苟，精益求精”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的工作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态度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。</w:t>
            </w:r>
          </w:p>
        </w:tc>
      </w:tr>
      <w:tr w14:paraId="3285629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1A56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46835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临床诊断步骤与思维方法</w:t>
            </w:r>
          </w:p>
          <w:p w14:paraId="3D51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诊断方法与病历书写</w:t>
            </w:r>
          </w:p>
        </w:tc>
      </w:tr>
      <w:tr w14:paraId="4FD6966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106A6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65CC6B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 w14:paraId="6248C57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A4FB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73BEB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电脑、投影仪、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 w14:paraId="77732F8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949DB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19FC62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right="0" w:hanging="8"/>
              <w:textAlignment w:val="auto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 w14:paraId="4EE71C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</w:tc>
      </w:tr>
      <w:tr w14:paraId="0B7D039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89475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DCD21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2AB6DC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199800F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EEAD1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593C46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F84D9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5FC6E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47E834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 w14:paraId="07096F7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D58D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4F89A0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915D2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展示临床诊断步骤与思维方法</w:t>
            </w:r>
          </w:p>
          <w:p w14:paraId="515E40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一、诊断步骤与临床思维方法 </w:t>
            </w:r>
          </w:p>
          <w:p w14:paraId="1DF400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对于疾病的诊断过程，实际上是医生对患者所患疾病的认识及判断过程，主要包括以下三个步骤：临床资料的获取；建立诊断；验证诊断。 </w:t>
            </w:r>
          </w:p>
          <w:p w14:paraId="23FAD3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（一）临床资料的获取 </w:t>
            </w:r>
          </w:p>
          <w:p w14:paraId="6731DB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“诊”可视同于“侦”，是调查取证的过程。为了作出正确的诊断，我们应力求获得最真实、最准确、最完整的临床资料。临床资料主要包括病史、体格检查、实验室及器械检查等。 </w:t>
            </w:r>
          </w:p>
          <w:p w14:paraId="5ED8C7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病史采集是最重要且难度最大的部分。病史首先是由患者（或知情者）向医生陈述其就医的直接原因。由于受社会文化背景、对疾病的了解程度及各种不同的就医心态等因素的影响，病史可能被叙述得杂乱无章，医生应耐心去听且要抓住要点，随时思考引起所述症状的发展过程及相互之间的联系，对尚不清楚之处逐一深入询问。如患者诉“吐血”，医生可提出诸如“血的颜色”“血与痰相混还是与食物相混”“出血前有何不适”“既往所患疾病”等问题，以区别是呕血还是咯血，然后再进一步找出呕血（或咯血）的具体病因。在询问中要对患者进行必要的引导，避免暗示。以暗示得到的病历往往不真实，且易留下误诊的隐患。如一位 20 岁女性被查出血性心包积液，在采集病史时，患者曾诉 2 周前乘车途中遇急刹车，腹部撞击到车栏上。因原发病因一直查不清楚，医生遂向 患者提问：“胸部是否被撞？”患者在医生暗示下，将受撞部位由腹部改称胸部，由此得出“外伤行心包炎”的诊断，经引流，液体消失后出院。2 个月后一次剧烈活动中，患者突发晕厥，再次住院，详查证实为非霍奇金淋巴瘤所致的心脏压塞，这才是血性心包积液真正的病因。完整病史的采集有时要延续到体检后，因体检可能还会发现新的线索，需做进一步的询问，以补充遗漏的病史。如给心悸的患者查体时，发现其甲状腺肿大，此时要再仔细询问甲状腺疾病的有关症状，予以补充。 </w:t>
            </w:r>
          </w:p>
          <w:p w14:paraId="2C84E2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体格检查既要系统全面，又要重点突出，在了解病史的基础上，应对可疑受累部位及可能出现的阳性体征仔细检查。如一位双下肢浮肿患者，在病史询问中得知其浮肿可能由风湿性心脏瓣膜病、心力衰竭所致，医生在进行全身各系统检查时要将重点放在心脏、血管的视诊、触诊、叩诊、听诊以及肺部、肝脏等可能受累脏器的检查上。病史及体格检查的完整、全面是非常重要的，否则易致漏诊或误诊。如忘记询问月经史，将“宫外孕”误诊为“急性阑尾炎”；不详细询问病史及仔细体检，将具有发热、寒战、右上腹痛的“右下大叶性肺炎”误诊为“急性胆囊炎”。 </w:t>
            </w:r>
          </w:p>
          <w:p w14:paraId="4C1F6C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>目前可供临床使用的实验室及器械检查项目非常多，且新的、更高精的检查手段不断问世，但许多检查、化验项目存在假阳性和假阴性可能，医生应掌握所要选做检查项目的适应证、敏感性、特异性及准确性，以便作出正确判断。除常规检查作为疾病的初步筛选手段外，其他检查必须依病史及体检为线索有针对性选用，避免采用撒网式的检查方法来获得临床诊断，一些创伤性的检查更应慎重。</w:t>
            </w:r>
          </w:p>
          <w:p w14:paraId="46B490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（二）建立诊断、验证诊断与临床思维方法 </w:t>
            </w:r>
          </w:p>
          <w:p w14:paraId="7F889C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“断”即是对疾病作出判断。此过程是医生将病史采集、体格检查、实验室检查及各种器械检查得到的结果，加以综合分析，作出初步诊断。初步诊断建立后还要经过实践检查，逐步完善。在诊断过程中（也包括以后的治疗中），医生的思维如何才能与客观相符合，从而对疾病作出准确无误的判断？这就要求医生具有良好的、科学的临床思维。临床思维方法是医生认识和判断疾病过程中采取的推理及逻辑方法，是将疾病的一般规律运用到判断特定个体所患疾病的思维过程。临床思维涉及哲学、生物学、心理学、社会学等诸多方面的知识，是开启诊断和治疗大门的钥匙。临床思维中的几点注意事项： </w:t>
            </w:r>
          </w:p>
          <w:p w14:paraId="65622D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1. 局部与整体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人体虽由多个脏器、多个器官组成，且各自具有不同功能，但它们均在中枢神经系统统一调控下，彼此间相互联系、相互作用、相互制约、相互协调来完成生理功能。单个脏器的病变往往可累及全身，如慢性支气管炎可发展到肺心病、心功能不全；反之，全身性疾病也可以某个脏器的损害为突出表现，如原发性高血压，有人是因鼻衄而发现的。要防止片面地、孤立地对待临床表现，否则会“头痛医头”“脚痛 </w:t>
            </w:r>
          </w:p>
          <w:p w14:paraId="78D955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医脚”，很容易漏诊或误诊。在疾病诊断过程中，凡能用一种疾病解释患者全部临床表现时，就不用多个诊断分别解释不同症状。如某患者四肢末梢发麻，反复尿路感染，疲乏无力。乍看，以为是神经系统和泌尿系统的疾病，再查发现了糖尿病，而前二者均是糖尿病的并发症。但有些患者也可同时罹患两种或两种以上疾病，故亦应避免用单一疾病诊断去勉强解释许多临床现象，应实事求是、如实、客观地对待。 </w:t>
            </w:r>
          </w:p>
          <w:p w14:paraId="2E05FE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2. 主要与次要 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先考虑多发病、常见病，后考虑少见病，环境、生物、心理、遗传等诸多因素均会对人体产生影响，不同地区、不同时期可有不同的疾病发生。如流行性出血热患者皮肤上常有出血点，在此病流行季节和区域，遇到皮肤有出血点的患者，结合其发热、尿中蛋白等，首先就得考虑此病；而在非疫区，遇到有类似表现的患者，首先考虑的却是血液系统和其他系统疾病，而非流行性出血热。因此做诊断时，应了解患者所在地的疾病谱，在排除了常见病、多发病后，再去考虑少见病、罕见病。 </w:t>
            </w:r>
          </w:p>
          <w:p w14:paraId="7DF4A9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3. 个体差异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疾病虽然有共同特征和表现，但人体之间存在着个体差异，使它在每个患者身上的具体表现都有其特殊性；而且医生接诊的患者因处于疾病过程中的不同阶段，尽管患同一种疾病，不同的个体在表现上也会有不同程度的差别。如同样是原发性高血压患者，有的无任何不适，体检中偶然被发现；有的有头痛、头晕；还有的却以活动中出现气短而就医。教材上介绍的是疾病共同的特征和典型表现。而就诊患者的表现却并非都那么典型，在诊断疾病时应予注意。如冠状动脉粥样硬化性心脏病的患者常有心绞痛，但当其发生在糖尿病基础上时，却可无明显心绞痛症状。 </w:t>
            </w:r>
          </w:p>
          <w:p w14:paraId="0B79C5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4. 许多疾病正确的诊断需反复验证才能成立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很多疾病的早期表现很相似，甚至难以区分，医生只有在不断地观察中去甄别。如某位患带状疱疹的患者在疱疹出现前因剧烈胸痛就医。此时，根据疼痛的部位、性质、持续时间、伴随症状、相关病史的询问和体验及辅助检查，排除了部分引起胸痛常见的病因，医生发现他的疼痛是沿肋间神经走行分布的，将其诊断为“肋间神经炎”，2 天后该患者疼痛部位出现了皮疹，此时诊断被改正为“带状疱疹”。疾病是个动态发现的过程，医生也要以动态的观点去对待它。</w:t>
            </w:r>
          </w:p>
          <w:p w14:paraId="152A2D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初步诊断的建立仅仅是诊断工作的初始阶段，其结果是否正确还得经过实践的检查（当治疗效果不满意时，要重新考虑诊断是否有误或不全面），随着疾病的发展和医生诊疗工作的深入，最初的诊断可被证实、被补充，也可被修改，乃至被推翻，而由新的、正确的诊断取而代之。 </w:t>
            </w:r>
          </w:p>
          <w:p w14:paraId="07E577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二、诊断内容与书写方式 </w:t>
            </w:r>
          </w:p>
          <w:p w14:paraId="48CD94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临床诊断是医生制定治疗方案的依据，要求概括、全面和重点突出。一份完整的疾病诊断，按顺序依次排列为：病因诊断、病理解剖诊断、病理生理诊断、并发症和伴发病的诊断。如某一患者同时患多种疾病，应分清主次，本次住院的主要疾病列在前，其他疾病按其重要性依序后排。 </w:t>
            </w:r>
          </w:p>
          <w:p w14:paraId="4E907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（一）病因诊断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</w:t>
            </w:r>
          </w:p>
          <w:p w14:paraId="4D154B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病因诊断是根据致病因素作出的诊断，如风湿性心脏瓣膜病、冠状动脉粥样硬化性心脏病、结核性胸膜炎等。因其指明致病的原因和本质，对疾病的发展、转归、治疗、预防有重要的指导意义，故列于诊断首位。 </w:t>
            </w:r>
          </w:p>
          <w:p w14:paraId="0C98A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（二）病理解剖诊断 </w:t>
            </w:r>
          </w:p>
          <w:p w14:paraId="502609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病理解剖诊断是对病变部位、范围、性质及组织结构变化做出的诊断，列于第二位。如二尖瓣狭窄、急性下壁心肌梗死等。此诊断的确立可根据组织学检查，也可由临床表现联系病理学而提出。 </w:t>
            </w:r>
          </w:p>
          <w:p w14:paraId="568816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（三）病理生理诊断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</w:t>
            </w:r>
          </w:p>
          <w:p w14:paraId="7169F9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病理生理诊断是疾病导致机体功能状态改变的诊断，列在第三位。如心房颤动、心功能不全等。病理生理的变化对病变脏器以及机体的功能作出判断，可由此作出患者预后及劳动能力的鉴定。 </w:t>
            </w:r>
          </w:p>
          <w:p w14:paraId="38C89D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（四）并发症的诊断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</w:t>
            </w:r>
          </w:p>
          <w:p w14:paraId="1037E3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在发病机制上与主病密切相关的疾病称为并发症，列于第四位。如 2 型糖尿病合并糖尿病肾病、先天性心脏病动脉导管未闭并发亚急性感染性心内膜炎等。 </w:t>
            </w:r>
          </w:p>
          <w:p w14:paraId="551505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（五）伴发病的诊断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</w:t>
            </w:r>
          </w:p>
          <w:p w14:paraId="5173EA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与主病无关，但同时存在的疾病称伴发病，排在最后，如冠状动脉粥样硬化性心脏病伴发龋齿、过敏性鼻炎等。 </w:t>
            </w:r>
          </w:p>
          <w:p w14:paraId="7A641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left"/>
              <w:textAlignment w:val="auto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在临床工作中，并非对所有疾病都能作出如此完整的诊断，可依其一项或二项作出诊断，如甲状腺功能亢进症、肝硬化失代偿期等。一些一时难以明确诊断的疾病，临床上常以其突出的症状或体征为前提，以“×× 原因待查”的方式暂予以处理，如“发热原因待查”“黄疸原因待查”等。在其下注明初步考虑可能性较大的疾病或待排除的疾病。 </w:t>
            </w:r>
          </w:p>
          <w:p w14:paraId="0C2D1D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如“咯血原因待查，肺结核？原发性支气管肺癌待除外”。 </w:t>
            </w:r>
          </w:p>
          <w:p w14:paraId="35EE0E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临床诊断内容及格式举例诊断： </w:t>
            </w:r>
          </w:p>
          <w:p w14:paraId="1FEE5F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冠状动脉粥样硬化性心脏病 </w:t>
            </w:r>
          </w:p>
          <w:p w14:paraId="5262AF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急性前壁心肌梗死 </w:t>
            </w:r>
          </w:p>
          <w:p w14:paraId="011416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心房颤动 </w:t>
            </w:r>
          </w:p>
          <w:p w14:paraId="38B59A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心功能 III 级 </w:t>
            </w:r>
          </w:p>
          <w:p w14:paraId="45023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颈椎病 </w:t>
            </w:r>
          </w:p>
          <w:p w14:paraId="57ED01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方正书宋简体" w:hAnsi="方正书宋简体" w:eastAsia="方正书宋简体" w:cs="方正书宋简体"/>
                <w:color w:val="231F2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>过敏性鼻炎</w:t>
            </w:r>
          </w:p>
          <w:p w14:paraId="13BFEC2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B4780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展示文章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 w14:paraId="392EECB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8BB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70B409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 w14:paraId="43FC09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422" w:firstLineChars="200"/>
              <w:textAlignment w:val="auto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b/>
                <w:bCs w:val="0"/>
                <w:szCs w:val="20"/>
                <w:lang w:val="en-US" w:eastAsia="zh-CN"/>
              </w:rPr>
              <w:t>简述</w:t>
            </w: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病理生理诊断</w:t>
            </w:r>
            <w:r>
              <w:rPr>
                <w:rFonts w:hint="eastAsia" w:ascii="Times New Roman" w:hAnsi="宋体"/>
                <w:b/>
                <w:bCs w:val="0"/>
                <w:szCs w:val="20"/>
                <w:lang w:val="en-US" w:eastAsia="zh-CN"/>
              </w:rPr>
              <w:t>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4A438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 w14:paraId="28AD4BE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66165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799779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55481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展示病历书写</w:t>
            </w:r>
          </w:p>
          <w:p w14:paraId="0294BF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医务人员在医疗过程中形成的文字、符号、图表、影像和病理切片等资料构成了病历，制历的文字部分是医务人员根据问诊、查体、辅助检查、诊断、治疗、护理等医疗活动所获得的资料，经归纳、分析、整理，并按规范化格式书写而成的。病历反映了患者发病、病情演变转归和诊疗情况。病历不仅是每位患者的病情档案，对其终身的医疗将提供参考，并且具有重要的法律效应。病历的质量直接反映了医院的医疗、学术及管理水平，是医疗、科研、教学的宝贵资料。 </w:t>
            </w:r>
          </w:p>
          <w:p w14:paraId="5286D4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>书写完整、规范的病历是每位医生所必须掌握的基本功，能否书写优质的病历也是对临床医生工作能力的考核标准之一。医学生必须从头做起，以高度负责的精神和实事求是的科学态度，刻苦认真，才能练就出一套终身受益的本领。</w:t>
            </w:r>
          </w:p>
          <w:p w14:paraId="7FEF3C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一、病历书写要求 </w:t>
            </w:r>
          </w:p>
          <w:p w14:paraId="3BE164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（1）病历应实事求是地反映患者的病情及诊治经过，杜绝主观臆断。 </w:t>
            </w:r>
          </w:p>
          <w:p w14:paraId="340B86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（2）病历要按规定的格式书写，项目填写应齐全无缺，最后由医务人员签名。书写中要使用医学词汇和术语，语句精练、通顺易懂，标点符号使用准确，避免使用便语、俗词。 </w:t>
            </w:r>
          </w:p>
          <w:p w14:paraId="56AB78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（3）病历应在规定的时间内完成。 </w:t>
            </w:r>
          </w:p>
          <w:p w14:paraId="036A89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>（4）应用蓝黑或碳素墨水书写病历，门（急）诊病历和需复写的医疗文件可用蓝或黑色油水的圆珠笔。书写时要求字迹工整、清楚易认、无错别字（要运用规范的汉语和汉字），如有笔误，应用双横线画在错别字上，不得应用刮、涂、粘等方法掩盖或去除原有字迹。上级医生有责任审查、修改下级医生病历，修改时要注明修改日期并签全名，对原记录应保持清晰可辨。</w:t>
            </w:r>
          </w:p>
          <w:p w14:paraId="02F6F2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二、病历书写的内容和格式 </w:t>
            </w:r>
          </w:p>
          <w:p w14:paraId="4CFCEE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（一）门诊病历 </w:t>
            </w:r>
          </w:p>
          <w:p w14:paraId="15E52F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门（急）诊病历记录应由接诊医生在患者就诊时及时完成。 </w:t>
            </w:r>
          </w:p>
          <w:p w14:paraId="0B1925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 xml:space="preserve">1. 初诊病历 </w:t>
            </w:r>
          </w:p>
          <w:p w14:paraId="2F83A4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（1）门诊手册封面应填写患者姓名、性别、出生年月、民族、职业、婚姻、住址、药物过敏史等项目。 </w:t>
            </w:r>
          </w:p>
          <w:p w14:paraId="4875AF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（2）就诊医院、科别。 </w:t>
            </w:r>
          </w:p>
          <w:p w14:paraId="423E93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（3）就诊日期（年、月、日，急诊患者应注明时、分），时间以 24 小时制记录。 </w:t>
            </w:r>
          </w:p>
          <w:p w14:paraId="56A454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（4）主要病史：简明扼要的记录主诉、现病史及与本次疾病相关的既往史、个人史、家族史等。 </w:t>
            </w:r>
          </w:p>
          <w:p w14:paraId="033411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（5）体格检查：一般情况、阳性体征及有益于鉴别诊断的阴性体征。 </w:t>
            </w:r>
          </w:p>
          <w:p w14:paraId="0E5102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（6）实验室及特殊检查结果。 </w:t>
            </w:r>
          </w:p>
          <w:p w14:paraId="6D45E6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（7）初步诊断（写在右下角），应力求在就诊当天或随后 1 </w:t>
            </w:r>
            <w:r>
              <w:rPr>
                <w:rFonts w:hint="eastAsia" w:ascii="Times New Roman" w:hAnsi="宋体"/>
                <w:bCs/>
                <w:szCs w:val="20"/>
                <w:lang w:val="en-US" w:eastAsia="zh-CN"/>
              </w:rPr>
              <w:t xml:space="preserve">～ 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2 次复诊中确定，如一时难以确诊，可暂以症状诊断代替，如“腹泻原因待查”等，并在其后提出一个或几个可疑诊断，如病情复杂，应请求会诊或收入院检查确诊。 </w:t>
            </w:r>
          </w:p>
          <w:p w14:paraId="163904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（8）处理意见：如入院、会诊、手术、进一步检查，应用的药物及剂量、用法、随诊、建议及疫情报告等。 </w:t>
            </w:r>
          </w:p>
          <w:p w14:paraId="315DC0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（9）医生签全名。 </w:t>
            </w:r>
          </w:p>
          <w:p w14:paraId="32F5F2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2. 复诊病历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重点记录患者病情变化，前一次就诊后各种实验室和器械检查结果，对治疗的反应，安排进一步检查及治疗等。 </w:t>
            </w:r>
          </w:p>
          <w:p w14:paraId="215DDC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3. 急诊病历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应记录患者就诊时间（年、月、日、时、分），主诉、扼要病史、体温、脉搏、呼吸、血压、神志、重要体征、实验室及影像等检查结果、诊断、抢救措施与抢救经过（需标明时间）。如急诊抢救无效死亡者，应记录死亡时间，死亡诊断和死亡原因。 </w:t>
            </w:r>
          </w:p>
          <w:p w14:paraId="7F042D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4. 门诊病历内容及格式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</w:t>
            </w:r>
          </w:p>
          <w:p w14:paraId="0CDA4E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年 月 日  医院 科别 主要病史（简要记录主诉、现病史、既往史等）。 </w:t>
            </w:r>
          </w:p>
          <w:p w14:paraId="7720A8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体格检查（简要记录阳性体征及有鉴别意义的阴性体征）。 </w:t>
            </w:r>
          </w:p>
          <w:p w14:paraId="5D3807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实验室及特殊检查结果： </w:t>
            </w:r>
          </w:p>
          <w:p w14:paraId="6DE1CD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处理： </w:t>
            </w:r>
          </w:p>
          <w:p w14:paraId="7E61A8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初步诊断：1. </w:t>
            </w:r>
          </w:p>
          <w:p w14:paraId="4B84CA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2. 医生签名： </w:t>
            </w:r>
          </w:p>
          <w:p w14:paraId="4A44C6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2" w:firstLineChars="200"/>
              <w:jc w:val="left"/>
              <w:rPr>
                <w:rFonts w:hint="default" w:ascii="Times New Roman" w:hAnsi="宋体"/>
                <w:bCs/>
                <w:szCs w:val="20"/>
                <w:lang w:val="en-US" w:eastAsia="zh-CN"/>
              </w:rPr>
            </w:pP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（二）住院病历</w:t>
            </w: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 xml:space="preserve"> </w:t>
            </w:r>
          </w:p>
          <w:p w14:paraId="410D92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方正书宋简体" w:hAnsi="方正书宋简体" w:eastAsia="方正书宋简体" w:cs="方正书宋简体"/>
                <w:color w:val="231F2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宋体"/>
                <w:bCs/>
                <w:szCs w:val="20"/>
                <w:lang w:val="en-US" w:eastAsia="zh-CN"/>
              </w:rPr>
              <w:t>患者入院时医生书写的病历有两种：住院病历（一般病历）由实习医生、低年资住院医生及进修医生书写，内容要求系统而完整；另一种为入院病历，由住院医生完成，内容简明扼要。住院病历要求在患者入院 24 小时内完成。</w:t>
            </w:r>
          </w:p>
          <w:p w14:paraId="59BFBC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4B1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常见症状</w:t>
            </w:r>
            <w:r>
              <w:rPr>
                <w:rFonts w:hint="eastAsia" w:ascii="Times New Roman" w:hAnsi="Times New Roman"/>
                <w:b/>
                <w:szCs w:val="24"/>
              </w:rPr>
              <w:t>的基本理论知识。</w:t>
            </w:r>
          </w:p>
        </w:tc>
      </w:tr>
      <w:tr w14:paraId="7DC5B49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074CA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561A1C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420A0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 w14:paraId="3928AD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422" w:firstLineChars="200"/>
              <w:jc w:val="left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这节课我们一起学习了病历书写，</w:t>
            </w: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知道</w:t>
            </w:r>
            <w:r>
              <w:rPr>
                <w:rFonts w:hint="default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患者入院时医生书写的病历有两种：住院病历（一般病历）由实习医生、低年资住院医生及进修医生书写，内容要求系统而完整；另一种为入院病历，由住院医生完成，内容简明扼要。住院病历要求在患者入院 24 小时内完成。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B253B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 w14:paraId="30C22C7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5C412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EDFCF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 w14:paraId="190702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422" w:firstLineChars="200"/>
              <w:jc w:val="both"/>
              <w:textAlignment w:val="auto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宋体"/>
                <w:b/>
                <w:bCs w:val="0"/>
                <w:szCs w:val="20"/>
                <w:lang w:val="en-US" w:eastAsia="zh-CN"/>
              </w:rPr>
              <w:t>简述</w:t>
            </w:r>
            <w:r>
              <w:rPr>
                <w:rFonts w:hint="default" w:ascii="Times New Roman" w:hAnsi="宋体"/>
                <w:b/>
                <w:bCs w:val="0"/>
                <w:szCs w:val="20"/>
                <w:lang w:val="en-US" w:eastAsia="zh-CN"/>
              </w:rPr>
              <w:t>病历书写的内容和格式</w:t>
            </w:r>
            <w:r>
              <w:rPr>
                <w:rFonts w:hint="eastAsia" w:ascii="Times New Roman" w:hAnsi="宋体"/>
                <w:b/>
                <w:bCs w:val="0"/>
                <w:szCs w:val="20"/>
                <w:lang w:val="en-US" w:eastAsia="zh-CN"/>
              </w:rPr>
              <w:t>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E3B54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64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 w14:paraId="77B8ADF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E5B67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23B54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80" w:lineRule="exact"/>
              <w:ind w:left="0" w:leftChars="0" w:right="0" w:rightChars="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</w:rPr>
              <w:t>教学目标是课堂的灵魂，只有紧紧把握教学目标，根据教学目标选择采用合适的教学方法，才能达到预期的目标。</w:t>
            </w:r>
          </w:p>
        </w:tc>
      </w:tr>
    </w:tbl>
    <w:p w14:paraId="30E1E80B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3FD2384"/>
    <w:rsid w:val="0AC91BFE"/>
    <w:rsid w:val="0E3C75E8"/>
    <w:rsid w:val="11CC0D8F"/>
    <w:rsid w:val="1F7742B3"/>
    <w:rsid w:val="1FB84519"/>
    <w:rsid w:val="20F13C9B"/>
    <w:rsid w:val="238347DF"/>
    <w:rsid w:val="24B477DD"/>
    <w:rsid w:val="278141AB"/>
    <w:rsid w:val="28B578A7"/>
    <w:rsid w:val="2FD65290"/>
    <w:rsid w:val="31F14A27"/>
    <w:rsid w:val="322A12C5"/>
    <w:rsid w:val="34AD60CD"/>
    <w:rsid w:val="34B67F89"/>
    <w:rsid w:val="368D542E"/>
    <w:rsid w:val="388B134B"/>
    <w:rsid w:val="3D171177"/>
    <w:rsid w:val="436C72A2"/>
    <w:rsid w:val="43CD7F64"/>
    <w:rsid w:val="4442648B"/>
    <w:rsid w:val="44B33A23"/>
    <w:rsid w:val="45C91BBA"/>
    <w:rsid w:val="49F8701E"/>
    <w:rsid w:val="4C7F0E23"/>
    <w:rsid w:val="55E24503"/>
    <w:rsid w:val="59411F8B"/>
    <w:rsid w:val="5A7C6694"/>
    <w:rsid w:val="5B5E462C"/>
    <w:rsid w:val="5B904C74"/>
    <w:rsid w:val="5FB00820"/>
    <w:rsid w:val="600E33E1"/>
    <w:rsid w:val="6098061B"/>
    <w:rsid w:val="622A303A"/>
    <w:rsid w:val="64343B27"/>
    <w:rsid w:val="659832B3"/>
    <w:rsid w:val="705D4B04"/>
    <w:rsid w:val="723010AC"/>
    <w:rsid w:val="78DE3426"/>
    <w:rsid w:val="795C442C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5533</Words>
  <Characters>5599</Characters>
  <Lines>1</Lines>
  <Paragraphs>1</Paragraphs>
  <TotalTime>0</TotalTime>
  <ScaleCrop>false</ScaleCrop>
  <LinksUpToDate>false</LinksUpToDate>
  <CharactersWithSpaces>5708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Administrator</cp:lastModifiedBy>
  <dcterms:modified xsi:type="dcterms:W3CDTF">2025-09-05T02:05:13Z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B53390DCA6AC4E2CA97D2986CB8B2031_13</vt:lpwstr>
  </property>
  <property fmtid="{D5CDD505-2E9C-101B-9397-08002B2CF9AE}" pid="4" name="KSOTemplateDocerSaveRecord">
    <vt:lpwstr>eyJoZGlkIjoiMGQ2MWZjZjk2MDJkNDExMGZjMzQxZTk4OTVmYzBiNzYifQ==</vt:lpwstr>
  </property>
</Properties>
</file>